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77F46" w14:textId="2DB46A22" w:rsidR="00A67044" w:rsidRDefault="009C5052" w:rsidP="004569E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569E8">
        <w:rPr>
          <w:rFonts w:ascii="Arial" w:hAnsi="Arial" w:cs="Arial"/>
          <w:b/>
          <w:sz w:val="24"/>
          <w:szCs w:val="24"/>
        </w:rPr>
        <w:t xml:space="preserve"> </w:t>
      </w:r>
      <w:r w:rsidR="003632D6" w:rsidRPr="001104EA">
        <w:rPr>
          <w:rFonts w:ascii="Arial" w:hAnsi="Arial" w:cs="Arial"/>
          <w:b/>
          <w:sz w:val="24"/>
          <w:szCs w:val="24"/>
          <w:u w:val="single"/>
        </w:rPr>
        <w:t xml:space="preserve">East Suffolk &amp; North Essex </w:t>
      </w:r>
      <w:r w:rsidR="00D17A29" w:rsidRPr="001104EA">
        <w:rPr>
          <w:rFonts w:ascii="Arial" w:hAnsi="Arial" w:cs="Arial"/>
          <w:b/>
          <w:sz w:val="24"/>
          <w:szCs w:val="24"/>
          <w:u w:val="single"/>
        </w:rPr>
        <w:t xml:space="preserve">NHS </w:t>
      </w:r>
      <w:r w:rsidR="003632D6" w:rsidRPr="001104EA">
        <w:rPr>
          <w:rFonts w:ascii="Arial" w:hAnsi="Arial" w:cs="Arial"/>
          <w:b/>
          <w:sz w:val="24"/>
          <w:szCs w:val="24"/>
          <w:u w:val="single"/>
        </w:rPr>
        <w:t xml:space="preserve">Foundation Trust (ESNEFT) Pathology </w:t>
      </w:r>
      <w:r w:rsidRPr="001104EA">
        <w:rPr>
          <w:rFonts w:ascii="Arial" w:hAnsi="Arial" w:cs="Arial"/>
          <w:b/>
          <w:sz w:val="24"/>
          <w:szCs w:val="24"/>
          <w:u w:val="single"/>
        </w:rPr>
        <w:t>Quality Policy</w:t>
      </w:r>
    </w:p>
    <w:p w14:paraId="7D5871CA" w14:textId="77777777" w:rsidR="001104EA" w:rsidRPr="001104EA" w:rsidRDefault="001104EA" w:rsidP="004569E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58A89DB" w14:textId="77777777" w:rsidR="00D65C94" w:rsidRPr="00117C7D" w:rsidRDefault="00246F30" w:rsidP="00D65C94">
      <w:pPr>
        <w:pStyle w:val="BodyText"/>
        <w:spacing w:after="60"/>
        <w:ind w:right="284"/>
        <w:rPr>
          <w:rFonts w:cs="Arial"/>
          <w:szCs w:val="22"/>
        </w:rPr>
      </w:pPr>
      <w:r w:rsidRPr="00117C7D">
        <w:rPr>
          <w:rFonts w:cs="Arial"/>
          <w:iCs/>
          <w:szCs w:val="22"/>
        </w:rPr>
        <w:t>East Suffolk and North Essex NHS Foundation Trust (ESNEFT) is the legal entity for Pathology Services at Colchester and Ipswich Hospitals</w:t>
      </w:r>
      <w:r w:rsidR="002340AA" w:rsidRPr="00117C7D">
        <w:rPr>
          <w:rFonts w:cs="Arial"/>
          <w:iCs/>
          <w:szCs w:val="22"/>
        </w:rPr>
        <w:t xml:space="preserve">. </w:t>
      </w:r>
      <w:r w:rsidR="00963D10" w:rsidRPr="00117C7D">
        <w:rPr>
          <w:rFonts w:cs="Arial"/>
          <w:szCs w:val="22"/>
          <w:lang w:eastAsia="en-GB"/>
        </w:rPr>
        <w:t>T</w:t>
      </w:r>
      <w:r w:rsidR="009C5052" w:rsidRPr="00117C7D">
        <w:rPr>
          <w:rFonts w:cs="Arial"/>
          <w:szCs w:val="22"/>
          <w:lang w:eastAsia="en-GB"/>
        </w:rPr>
        <w:t xml:space="preserve">he commitment of the organisation is as follows </w:t>
      </w:r>
      <w:r w:rsidR="00D65C94" w:rsidRPr="00117C7D">
        <w:rPr>
          <w:rFonts w:cs="Arial"/>
          <w:szCs w:val="22"/>
        </w:rPr>
        <w:t xml:space="preserve">in the following disciplines: </w:t>
      </w:r>
    </w:p>
    <w:p w14:paraId="6ED75FD6" w14:textId="65972521" w:rsidR="007E731A" w:rsidRPr="0069466D" w:rsidRDefault="00D65C94" w:rsidP="00641F80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69466D">
        <w:rPr>
          <w:rFonts w:ascii="Arial" w:hAnsi="Arial" w:cs="Arial"/>
        </w:rPr>
        <w:t xml:space="preserve">Biochemistry, </w:t>
      </w:r>
      <w:r w:rsidR="007E731A" w:rsidRPr="0069466D">
        <w:rPr>
          <w:rFonts w:ascii="Arial" w:hAnsi="Arial" w:cs="Arial"/>
        </w:rPr>
        <w:t>Cellular Pathology</w:t>
      </w:r>
      <w:r w:rsidR="00087C90">
        <w:rPr>
          <w:rFonts w:ascii="Arial" w:hAnsi="Arial" w:cs="Arial"/>
        </w:rPr>
        <w:t>,</w:t>
      </w:r>
      <w:r w:rsidR="007E731A" w:rsidRPr="0069466D">
        <w:rPr>
          <w:rFonts w:ascii="Arial" w:hAnsi="Arial" w:cs="Arial"/>
        </w:rPr>
        <w:t xml:space="preserve"> </w:t>
      </w:r>
      <w:r w:rsidR="004401C6">
        <w:rPr>
          <w:rFonts w:ascii="Arial" w:hAnsi="Arial" w:cs="Arial"/>
        </w:rPr>
        <w:t xml:space="preserve">Mortuary, </w:t>
      </w:r>
      <w:r w:rsidRPr="0069466D">
        <w:rPr>
          <w:rFonts w:ascii="Arial" w:hAnsi="Arial" w:cs="Arial"/>
        </w:rPr>
        <w:t>Haematology</w:t>
      </w:r>
      <w:r w:rsidR="007E731A" w:rsidRPr="0069466D">
        <w:rPr>
          <w:rFonts w:ascii="Arial" w:hAnsi="Arial" w:cs="Arial"/>
        </w:rPr>
        <w:t>, Immunology</w:t>
      </w:r>
      <w:r w:rsidR="00117C7D" w:rsidRPr="0069466D">
        <w:rPr>
          <w:rFonts w:ascii="Arial" w:hAnsi="Arial" w:cs="Arial"/>
        </w:rPr>
        <w:t>,</w:t>
      </w:r>
      <w:r w:rsidRPr="0069466D">
        <w:rPr>
          <w:rFonts w:ascii="Arial" w:hAnsi="Arial" w:cs="Arial"/>
        </w:rPr>
        <w:t xml:space="preserve"> </w:t>
      </w:r>
      <w:r w:rsidR="00117C7D" w:rsidRPr="0069466D">
        <w:rPr>
          <w:rFonts w:ascii="Arial" w:hAnsi="Arial" w:cs="Arial"/>
        </w:rPr>
        <w:t>Blood Transfusion,</w:t>
      </w:r>
      <w:r w:rsidR="0069466D">
        <w:rPr>
          <w:rFonts w:ascii="Arial" w:hAnsi="Arial" w:cs="Arial"/>
        </w:rPr>
        <w:t xml:space="preserve"> Point of Care Testing,</w:t>
      </w:r>
      <w:r w:rsidR="007E731A" w:rsidRPr="0069466D">
        <w:rPr>
          <w:rFonts w:ascii="Arial" w:hAnsi="Arial" w:cs="Arial"/>
        </w:rPr>
        <w:t xml:space="preserve"> </w:t>
      </w:r>
      <w:r w:rsidR="009724E5">
        <w:rPr>
          <w:rFonts w:ascii="Arial" w:hAnsi="Arial" w:cs="Arial"/>
        </w:rPr>
        <w:t xml:space="preserve">LAMP, </w:t>
      </w:r>
      <w:r w:rsidR="007E731A" w:rsidRPr="0069466D">
        <w:rPr>
          <w:rFonts w:ascii="Arial" w:hAnsi="Arial" w:cs="Arial"/>
        </w:rPr>
        <w:t>Microbiology &amp; Molecular Departments</w:t>
      </w:r>
    </w:p>
    <w:p w14:paraId="5784874E" w14:textId="77777777" w:rsidR="009C5052" w:rsidRPr="00117C7D" w:rsidRDefault="00D65C94" w:rsidP="00641F80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hAnsi="Arial" w:cs="Arial"/>
          <w:b/>
        </w:rPr>
        <w:t xml:space="preserve"> </w:t>
      </w:r>
      <w:r w:rsidR="0090730D" w:rsidRPr="00117C7D">
        <w:rPr>
          <w:rFonts w:ascii="Arial" w:eastAsia="Times New Roman" w:hAnsi="Arial" w:cs="Arial"/>
          <w:lang w:eastAsia="en-GB"/>
        </w:rPr>
        <w:t xml:space="preserve">It is the policy of </w:t>
      </w:r>
      <w:r w:rsidR="003632D6" w:rsidRPr="00117C7D">
        <w:rPr>
          <w:rFonts w:ascii="Arial" w:eastAsia="Times New Roman" w:hAnsi="Arial" w:cs="Arial"/>
          <w:lang w:eastAsia="en-GB"/>
        </w:rPr>
        <w:t>ESNEFT</w:t>
      </w:r>
      <w:r w:rsidR="00641F80" w:rsidRPr="00117C7D">
        <w:rPr>
          <w:rFonts w:ascii="Arial" w:eastAsia="Times New Roman" w:hAnsi="Arial" w:cs="Arial"/>
          <w:lang w:eastAsia="en-GB"/>
        </w:rPr>
        <w:t xml:space="preserve"> to</w:t>
      </w:r>
      <w:r w:rsidR="009C5052" w:rsidRPr="00117C7D">
        <w:rPr>
          <w:rFonts w:ascii="Arial" w:eastAsia="Times New Roman" w:hAnsi="Arial" w:cs="Arial"/>
          <w:lang w:eastAsia="en-GB"/>
        </w:rPr>
        <w:t xml:space="preserve"> perform all its work to the highest possible level of quality </w:t>
      </w:r>
      <w:r w:rsidR="00710BF2" w:rsidRPr="00117C7D">
        <w:rPr>
          <w:rFonts w:ascii="Arial" w:eastAsia="Times New Roman" w:hAnsi="Arial" w:cs="Arial"/>
          <w:lang w:eastAsia="en-GB"/>
        </w:rPr>
        <w:t xml:space="preserve">and compliance. ISO 15189, MHRA and HTA </w:t>
      </w:r>
      <w:r w:rsidR="009C5052" w:rsidRPr="00117C7D">
        <w:rPr>
          <w:rFonts w:ascii="Arial" w:eastAsia="Times New Roman" w:hAnsi="Arial" w:cs="Arial"/>
          <w:lang w:eastAsia="en-GB"/>
        </w:rPr>
        <w:t>are the minimum foundations upon which the standards of work are based.</w:t>
      </w:r>
    </w:p>
    <w:p w14:paraId="1247B134" w14:textId="04543B6F" w:rsidR="009C5052" w:rsidRPr="00117C7D" w:rsidRDefault="009C5052" w:rsidP="00641F80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 xml:space="preserve">This policy statement reinforces </w:t>
      </w:r>
      <w:r w:rsidR="004401C6" w:rsidRPr="00117C7D">
        <w:rPr>
          <w:rFonts w:ascii="Arial" w:eastAsia="Times New Roman" w:hAnsi="Arial" w:cs="Arial"/>
          <w:lang w:eastAsia="en-GB"/>
        </w:rPr>
        <w:t>to both</w:t>
      </w:r>
      <w:r w:rsidRPr="00117C7D">
        <w:rPr>
          <w:rFonts w:ascii="Arial" w:eastAsia="Times New Roman" w:hAnsi="Arial" w:cs="Arial"/>
          <w:lang w:eastAsia="en-GB"/>
        </w:rPr>
        <w:t xml:space="preserve"> our customers and staff</w:t>
      </w:r>
      <w:r w:rsidR="00B96EC3" w:rsidRPr="00117C7D">
        <w:rPr>
          <w:rFonts w:ascii="Arial" w:eastAsia="Times New Roman" w:hAnsi="Arial" w:cs="Arial"/>
          <w:lang w:eastAsia="en-GB"/>
        </w:rPr>
        <w:t>,</w:t>
      </w:r>
      <w:r w:rsidRPr="00117C7D">
        <w:rPr>
          <w:rFonts w:ascii="Arial" w:eastAsia="Times New Roman" w:hAnsi="Arial" w:cs="Arial"/>
          <w:lang w:eastAsia="en-GB"/>
        </w:rPr>
        <w:t xml:space="preserve"> the co</w:t>
      </w:r>
      <w:r w:rsidR="0090730D" w:rsidRPr="00117C7D">
        <w:rPr>
          <w:rFonts w:ascii="Arial" w:eastAsia="Times New Roman" w:hAnsi="Arial" w:cs="Arial"/>
          <w:lang w:eastAsia="en-GB"/>
        </w:rPr>
        <w:t xml:space="preserve">mmitment that management of </w:t>
      </w:r>
      <w:r w:rsidR="003632D6" w:rsidRPr="00117C7D">
        <w:rPr>
          <w:rFonts w:ascii="Arial" w:eastAsia="Times New Roman" w:hAnsi="Arial" w:cs="Arial"/>
          <w:lang w:eastAsia="en-GB"/>
        </w:rPr>
        <w:t>ESNEFT</w:t>
      </w:r>
      <w:r w:rsidRPr="00117C7D">
        <w:rPr>
          <w:rFonts w:ascii="Arial" w:eastAsia="Times New Roman" w:hAnsi="Arial" w:cs="Arial"/>
          <w:lang w:eastAsia="en-GB"/>
        </w:rPr>
        <w:t xml:space="preserve"> has to high standards of quality compliance and service.</w:t>
      </w:r>
    </w:p>
    <w:p w14:paraId="6365C0A6" w14:textId="77777777" w:rsidR="009C5052" w:rsidRPr="004569E8" w:rsidRDefault="009C5052" w:rsidP="000E02D7">
      <w:pPr>
        <w:spacing w:after="0" w:line="270" w:lineRule="atLeast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4569E8">
        <w:rPr>
          <w:rFonts w:ascii="Arial" w:hAnsi="Arial" w:cs="Arial"/>
          <w:b/>
          <w:sz w:val="24"/>
          <w:szCs w:val="24"/>
          <w:lang w:eastAsia="en-GB"/>
        </w:rPr>
        <w:t>User needs and requirements</w:t>
      </w:r>
    </w:p>
    <w:p w14:paraId="519C9950" w14:textId="77777777" w:rsidR="009C5052" w:rsidRPr="00117C7D" w:rsidRDefault="009C5052" w:rsidP="004569E8">
      <w:pPr>
        <w:pStyle w:val="NoSpacing"/>
        <w:rPr>
          <w:rFonts w:ascii="Arial" w:hAnsi="Arial" w:cs="Arial"/>
          <w:lang w:eastAsia="en-GB"/>
        </w:rPr>
      </w:pPr>
      <w:r w:rsidRPr="00117C7D">
        <w:rPr>
          <w:rFonts w:ascii="Arial" w:hAnsi="Arial" w:cs="Arial"/>
          <w:lang w:eastAsia="en-GB"/>
        </w:rPr>
        <w:t>In order to ensure that the needs and req</w:t>
      </w:r>
      <w:r w:rsidR="0090730D" w:rsidRPr="00117C7D">
        <w:rPr>
          <w:rFonts w:ascii="Arial" w:hAnsi="Arial" w:cs="Arial"/>
          <w:lang w:eastAsia="en-GB"/>
        </w:rPr>
        <w:t xml:space="preserve">uirements of users are met, </w:t>
      </w:r>
      <w:r w:rsidR="003632D6" w:rsidRPr="00117C7D">
        <w:rPr>
          <w:rFonts w:ascii="Arial" w:hAnsi="Arial" w:cs="Arial"/>
          <w:lang w:eastAsia="en-GB"/>
        </w:rPr>
        <w:t>ESNEFT</w:t>
      </w:r>
      <w:r w:rsidRPr="00117C7D">
        <w:rPr>
          <w:rFonts w:ascii="Arial" w:hAnsi="Arial" w:cs="Arial"/>
          <w:lang w:eastAsia="en-GB"/>
        </w:rPr>
        <w:t xml:space="preserve"> will:</w:t>
      </w:r>
    </w:p>
    <w:p w14:paraId="7FB2794F" w14:textId="77777777" w:rsidR="009C5052" w:rsidRPr="00117C7D" w:rsidRDefault="009C5052" w:rsidP="00206605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>Operate a quality management system t</w:t>
      </w:r>
      <w:r w:rsidR="00206605" w:rsidRPr="00117C7D">
        <w:rPr>
          <w:rFonts w:ascii="Arial" w:eastAsia="Times New Roman" w:hAnsi="Arial" w:cs="Arial"/>
          <w:lang w:eastAsia="en-GB"/>
        </w:rPr>
        <w:t>hat</w:t>
      </w:r>
      <w:r w:rsidRPr="00117C7D">
        <w:rPr>
          <w:rFonts w:ascii="Arial" w:eastAsia="Times New Roman" w:hAnsi="Arial" w:cs="Arial"/>
          <w:lang w:eastAsia="en-GB"/>
        </w:rPr>
        <w:t xml:space="preserve"> integrate</w:t>
      </w:r>
      <w:r w:rsidR="00206605" w:rsidRPr="00117C7D">
        <w:rPr>
          <w:rFonts w:ascii="Arial" w:eastAsia="Times New Roman" w:hAnsi="Arial" w:cs="Arial"/>
          <w:lang w:eastAsia="en-GB"/>
        </w:rPr>
        <w:t>s</w:t>
      </w:r>
      <w:r w:rsidRPr="00117C7D">
        <w:rPr>
          <w:rFonts w:ascii="Arial" w:eastAsia="Times New Roman" w:hAnsi="Arial" w:cs="Arial"/>
          <w:lang w:eastAsia="en-GB"/>
        </w:rPr>
        <w:t xml:space="preserve"> the processes </w:t>
      </w:r>
      <w:r w:rsidR="00206605" w:rsidRPr="00117C7D">
        <w:rPr>
          <w:rFonts w:ascii="Arial" w:eastAsia="Times New Roman" w:hAnsi="Arial" w:cs="Arial"/>
          <w:lang w:eastAsia="en-GB"/>
        </w:rPr>
        <w:t>required to conduct its examinations and to facilitate the continual improvement of the service.</w:t>
      </w:r>
    </w:p>
    <w:p w14:paraId="7CE4D770" w14:textId="77777777" w:rsidR="008A7921" w:rsidRPr="00117C7D" w:rsidRDefault="008A7921" w:rsidP="008A7921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>Ensure that this policy is communicated &amp; understood by all members of staff.</w:t>
      </w:r>
    </w:p>
    <w:p w14:paraId="7229DABF" w14:textId="77777777" w:rsidR="009C5052" w:rsidRPr="00117C7D" w:rsidRDefault="00D65C94" w:rsidP="00641F80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hAnsi="Arial" w:cs="Arial"/>
        </w:rPr>
        <w:t xml:space="preserve">Monitor compliance with these documented policies and </w:t>
      </w:r>
      <w:r w:rsidR="00641F80" w:rsidRPr="00117C7D">
        <w:rPr>
          <w:rFonts w:ascii="Arial" w:hAnsi="Arial" w:cs="Arial"/>
        </w:rPr>
        <w:t>procedures.</w:t>
      </w:r>
      <w:r w:rsidR="00641F80" w:rsidRPr="00117C7D">
        <w:rPr>
          <w:rFonts w:ascii="Arial" w:eastAsia="Times New Roman" w:hAnsi="Arial" w:cs="Arial"/>
          <w:lang w:eastAsia="en-GB"/>
        </w:rPr>
        <w:t xml:space="preserve"> Set</w:t>
      </w:r>
      <w:r w:rsidR="009659AD" w:rsidRPr="00117C7D">
        <w:rPr>
          <w:rFonts w:ascii="Arial" w:eastAsia="Times New Roman" w:hAnsi="Arial" w:cs="Arial"/>
          <w:lang w:eastAsia="en-GB"/>
        </w:rPr>
        <w:t xml:space="preserve"> &amp; review</w:t>
      </w:r>
      <w:r w:rsidR="009C5052" w:rsidRPr="00117C7D">
        <w:rPr>
          <w:rFonts w:ascii="Arial" w:eastAsia="Times New Roman" w:hAnsi="Arial" w:cs="Arial"/>
          <w:lang w:eastAsia="en-GB"/>
        </w:rPr>
        <w:t xml:space="preserve"> quality objectives and plans in order to implement this quality policy.</w:t>
      </w:r>
    </w:p>
    <w:p w14:paraId="4AB9C35A" w14:textId="77777777" w:rsidR="009C5052" w:rsidRPr="00117C7D" w:rsidRDefault="009C5052" w:rsidP="00641F80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>Ensure that all personnel are familiar with this quality policy to ensure user satisfaction.</w:t>
      </w:r>
    </w:p>
    <w:p w14:paraId="5388382C" w14:textId="77777777" w:rsidR="009C5052" w:rsidRPr="00117C7D" w:rsidRDefault="009C5052" w:rsidP="00641F80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 xml:space="preserve">Commit to the health, safety and welfare of </w:t>
      </w:r>
      <w:r w:rsidR="00EE572A" w:rsidRPr="00117C7D">
        <w:rPr>
          <w:rFonts w:ascii="Arial" w:eastAsia="Times New Roman" w:hAnsi="Arial" w:cs="Arial"/>
          <w:lang w:eastAsia="en-GB"/>
        </w:rPr>
        <w:t>its entire</w:t>
      </w:r>
      <w:r w:rsidRPr="00117C7D">
        <w:rPr>
          <w:rFonts w:ascii="Arial" w:eastAsia="Times New Roman" w:hAnsi="Arial" w:cs="Arial"/>
          <w:lang w:eastAsia="en-GB"/>
        </w:rPr>
        <w:t xml:space="preserve"> staff. Visitors to the department will be treated with respect and due consideration will be given to their safety while on site.</w:t>
      </w:r>
    </w:p>
    <w:p w14:paraId="2BDFE014" w14:textId="77777777" w:rsidR="009C5052" w:rsidRPr="00117C7D" w:rsidRDefault="009C5052" w:rsidP="00641F80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>Commit to comply with relevant environmental legislation.</w:t>
      </w:r>
    </w:p>
    <w:p w14:paraId="46A42EEA" w14:textId="77777777" w:rsidR="009C5052" w:rsidRPr="00117C7D" w:rsidRDefault="009C5052" w:rsidP="00641F80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>Uphold professional values and be committed to good professional practice and conduct.</w:t>
      </w:r>
    </w:p>
    <w:p w14:paraId="23A8A412" w14:textId="77777777" w:rsidR="004569E8" w:rsidRPr="00117C7D" w:rsidRDefault="004569E8" w:rsidP="006B2491">
      <w:pPr>
        <w:pStyle w:val="BodyText"/>
        <w:numPr>
          <w:ilvl w:val="0"/>
          <w:numId w:val="8"/>
        </w:numPr>
        <w:spacing w:after="60"/>
        <w:ind w:right="284"/>
        <w:rPr>
          <w:rFonts w:cs="Arial"/>
          <w:szCs w:val="22"/>
        </w:rPr>
      </w:pPr>
      <w:r w:rsidRPr="00117C7D">
        <w:rPr>
          <w:rFonts w:cs="Arial"/>
          <w:szCs w:val="22"/>
        </w:rPr>
        <w:t>Comply with Caldicott Guardian, Freedom of Information Act, Clinical Governance, Quality Care Commission</w:t>
      </w:r>
      <w:r w:rsidR="006B2491" w:rsidRPr="00117C7D">
        <w:rPr>
          <w:rFonts w:cs="Arial"/>
          <w:szCs w:val="22"/>
        </w:rPr>
        <w:t>,</w:t>
      </w:r>
      <w:r w:rsidRPr="00117C7D">
        <w:rPr>
          <w:rFonts w:cs="Arial"/>
          <w:szCs w:val="22"/>
        </w:rPr>
        <w:t xml:space="preserve"> NHS </w:t>
      </w:r>
      <w:r w:rsidRPr="00117C7D">
        <w:rPr>
          <w:rFonts w:cs="Arial"/>
          <w:bCs/>
          <w:szCs w:val="22"/>
        </w:rPr>
        <w:t>Litigation Authority</w:t>
      </w:r>
      <w:r w:rsidR="006B2491" w:rsidRPr="00117C7D">
        <w:rPr>
          <w:rFonts w:cs="Arial"/>
          <w:bCs/>
          <w:szCs w:val="22"/>
        </w:rPr>
        <w:t xml:space="preserve"> and General Data Protection Regulation (</w:t>
      </w:r>
      <w:r w:rsidR="00024173" w:rsidRPr="00117C7D">
        <w:rPr>
          <w:rFonts w:cs="Arial"/>
          <w:bCs/>
          <w:szCs w:val="22"/>
        </w:rPr>
        <w:t>GDPR</w:t>
      </w:r>
      <w:r w:rsidR="006B2491" w:rsidRPr="00117C7D">
        <w:rPr>
          <w:rFonts w:cs="Arial"/>
          <w:bCs/>
          <w:szCs w:val="22"/>
        </w:rPr>
        <w:t>)</w:t>
      </w:r>
      <w:r w:rsidRPr="00117C7D">
        <w:rPr>
          <w:rFonts w:cs="Arial"/>
          <w:szCs w:val="22"/>
        </w:rPr>
        <w:t>.</w:t>
      </w:r>
    </w:p>
    <w:p w14:paraId="17AB10F2" w14:textId="77777777" w:rsidR="009C5052" w:rsidRPr="004569E8" w:rsidRDefault="009C5052" w:rsidP="004569E8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4569E8">
        <w:rPr>
          <w:rFonts w:ascii="Arial" w:hAnsi="Arial" w:cs="Arial"/>
          <w:b/>
          <w:sz w:val="24"/>
          <w:szCs w:val="24"/>
          <w:lang w:eastAsia="en-GB"/>
        </w:rPr>
        <w:t>Complying with standards</w:t>
      </w:r>
    </w:p>
    <w:p w14:paraId="18B5D58E" w14:textId="77777777" w:rsidR="004E5784" w:rsidRPr="00117C7D" w:rsidRDefault="003632D6" w:rsidP="004E5784">
      <w:pPr>
        <w:pStyle w:val="NoSpacing"/>
        <w:rPr>
          <w:rFonts w:ascii="Arial" w:hAnsi="Arial" w:cs="Arial"/>
          <w:lang w:eastAsia="en-GB"/>
        </w:rPr>
      </w:pPr>
      <w:r w:rsidRPr="00117C7D">
        <w:rPr>
          <w:rFonts w:ascii="Arial" w:hAnsi="Arial" w:cs="Arial"/>
          <w:lang w:eastAsia="en-GB"/>
        </w:rPr>
        <w:t>ESNEFT</w:t>
      </w:r>
      <w:r w:rsidR="009C5052" w:rsidRPr="00117C7D">
        <w:rPr>
          <w:rFonts w:ascii="Arial" w:hAnsi="Arial" w:cs="Arial"/>
          <w:lang w:eastAsia="en-GB"/>
        </w:rPr>
        <w:t xml:space="preserve"> will comply with </w:t>
      </w:r>
      <w:r w:rsidR="00A16EAD" w:rsidRPr="00117C7D">
        <w:rPr>
          <w:rFonts w:ascii="Arial" w:hAnsi="Arial" w:cs="Arial"/>
          <w:lang w:eastAsia="en-GB"/>
        </w:rPr>
        <w:t>standards set by ISO 15189</w:t>
      </w:r>
      <w:r w:rsidR="00F00629" w:rsidRPr="00117C7D">
        <w:rPr>
          <w:rFonts w:ascii="Arial" w:hAnsi="Arial" w:cs="Arial"/>
          <w:lang w:eastAsia="en-GB"/>
        </w:rPr>
        <w:t xml:space="preserve"> </w:t>
      </w:r>
      <w:r w:rsidR="004E5784" w:rsidRPr="00117C7D">
        <w:rPr>
          <w:rFonts w:ascii="Arial" w:hAnsi="Arial" w:cs="Arial"/>
          <w:lang w:eastAsia="en-GB"/>
        </w:rPr>
        <w:t>and the UK’s Blood safety and quality regulations and EU Guidance on Good Manufacturing Practice.  There is commitment to:</w:t>
      </w:r>
    </w:p>
    <w:p w14:paraId="12CE608F" w14:textId="77777777" w:rsidR="009C5052" w:rsidRPr="00117C7D" w:rsidRDefault="009C5052" w:rsidP="004E5784">
      <w:pPr>
        <w:pStyle w:val="NoSpacing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>Staff recruitment, training, development</w:t>
      </w:r>
      <w:r w:rsidR="00D65C94" w:rsidRPr="00117C7D">
        <w:rPr>
          <w:rFonts w:ascii="Arial" w:eastAsia="Times New Roman" w:hAnsi="Arial" w:cs="Arial"/>
          <w:lang w:eastAsia="en-GB"/>
        </w:rPr>
        <w:t xml:space="preserve">, </w:t>
      </w:r>
      <w:r w:rsidR="00D65C94" w:rsidRPr="00117C7D">
        <w:rPr>
          <w:rFonts w:ascii="Arial" w:hAnsi="Arial" w:cs="Arial"/>
        </w:rPr>
        <w:t>competency</w:t>
      </w:r>
      <w:r w:rsidRPr="00117C7D">
        <w:rPr>
          <w:rFonts w:ascii="Arial" w:eastAsia="Times New Roman" w:hAnsi="Arial" w:cs="Arial"/>
          <w:lang w:eastAsia="en-GB"/>
        </w:rPr>
        <w:t xml:space="preserve"> and retention at all levels to provide a full and effective service to its users.</w:t>
      </w:r>
    </w:p>
    <w:p w14:paraId="125B1BBA" w14:textId="77777777" w:rsidR="009C5052" w:rsidRPr="00117C7D" w:rsidRDefault="009C5052" w:rsidP="00641F80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>Appropriate procurement and maintenance of such facilities, equipment and other resources as are needed for the provision of the service.</w:t>
      </w:r>
    </w:p>
    <w:p w14:paraId="4C4376E0" w14:textId="77777777" w:rsidR="009C5052" w:rsidRPr="00117C7D" w:rsidRDefault="009C5052" w:rsidP="00641F80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>The collection, transport and handling of all specimens in a</w:t>
      </w:r>
      <w:r w:rsidR="00F24061" w:rsidRPr="00117C7D">
        <w:rPr>
          <w:rFonts w:ascii="Arial" w:eastAsia="Times New Roman" w:hAnsi="Arial" w:cs="Arial"/>
          <w:lang w:eastAsia="en-GB"/>
        </w:rPr>
        <w:t xml:space="preserve"> compliant</w:t>
      </w:r>
      <w:r w:rsidRPr="00117C7D">
        <w:rPr>
          <w:rFonts w:ascii="Arial" w:eastAsia="Times New Roman" w:hAnsi="Arial" w:cs="Arial"/>
          <w:lang w:eastAsia="en-GB"/>
        </w:rPr>
        <w:t xml:space="preserve"> way </w:t>
      </w:r>
      <w:r w:rsidR="00B96EC3" w:rsidRPr="00117C7D">
        <w:rPr>
          <w:rFonts w:ascii="Arial" w:eastAsia="Times New Roman" w:hAnsi="Arial" w:cs="Arial"/>
          <w:lang w:eastAsia="en-GB"/>
        </w:rPr>
        <w:t xml:space="preserve">so </w:t>
      </w:r>
      <w:r w:rsidRPr="00117C7D">
        <w:rPr>
          <w:rFonts w:ascii="Arial" w:eastAsia="Times New Roman" w:hAnsi="Arial" w:cs="Arial"/>
          <w:lang w:eastAsia="en-GB"/>
        </w:rPr>
        <w:t>as to ensure the correct performance of laboratory examinations.</w:t>
      </w:r>
    </w:p>
    <w:p w14:paraId="53345414" w14:textId="77777777" w:rsidR="00B016FF" w:rsidRPr="00117C7D" w:rsidRDefault="00B016FF" w:rsidP="000E02D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17C7D">
        <w:rPr>
          <w:rFonts w:ascii="Arial" w:hAnsi="Arial" w:cs="Arial"/>
        </w:rPr>
        <w:t>Ensuring all data held on electronic or manual systems is secure, accurate, complete, relevant and allows interpretation for clinical or managerial purposes.</w:t>
      </w:r>
    </w:p>
    <w:p w14:paraId="198A61E7" w14:textId="77777777" w:rsidR="009C5052" w:rsidRPr="00117C7D" w:rsidRDefault="009C5052" w:rsidP="00641F80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lastRenderedPageBreak/>
        <w:t>The use of examination procedures that will ensure the highest achievable quality of all tests performed.</w:t>
      </w:r>
    </w:p>
    <w:p w14:paraId="6CDA9E33" w14:textId="729BF95D" w:rsidR="009C5052" w:rsidRPr="00117C7D" w:rsidRDefault="009C5052" w:rsidP="00641F80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 xml:space="preserve">Reporting results of examinations in </w:t>
      </w:r>
      <w:r w:rsidR="001104EA" w:rsidRPr="00117C7D">
        <w:rPr>
          <w:rFonts w:ascii="Arial" w:eastAsia="Times New Roman" w:hAnsi="Arial" w:cs="Arial"/>
          <w:lang w:eastAsia="en-GB"/>
        </w:rPr>
        <w:t>ways, which</w:t>
      </w:r>
      <w:r w:rsidRPr="00117C7D">
        <w:rPr>
          <w:rFonts w:ascii="Arial" w:eastAsia="Times New Roman" w:hAnsi="Arial" w:cs="Arial"/>
          <w:lang w:eastAsia="en-GB"/>
        </w:rPr>
        <w:t xml:space="preserve"> are timely, confidential, accurate and clinically useful.</w:t>
      </w:r>
    </w:p>
    <w:p w14:paraId="19F40F14" w14:textId="77777777" w:rsidR="009C5052" w:rsidRPr="00117C7D" w:rsidRDefault="00A65294" w:rsidP="00641F80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>Periodic review</w:t>
      </w:r>
      <w:r w:rsidR="009C5052" w:rsidRPr="00117C7D">
        <w:rPr>
          <w:rFonts w:ascii="Arial" w:eastAsia="Times New Roman" w:hAnsi="Arial" w:cs="Arial"/>
          <w:lang w:eastAsia="en-GB"/>
        </w:rPr>
        <w:t xml:space="preserve"> of the Quality Policy and Management System</w:t>
      </w:r>
      <w:r w:rsidRPr="00117C7D">
        <w:rPr>
          <w:rFonts w:ascii="Arial" w:eastAsia="Times New Roman" w:hAnsi="Arial" w:cs="Arial"/>
          <w:lang w:eastAsia="en-GB"/>
        </w:rPr>
        <w:t xml:space="preserve"> at least yearly</w:t>
      </w:r>
      <w:r w:rsidR="009C5052" w:rsidRPr="00117C7D">
        <w:rPr>
          <w:rFonts w:ascii="Arial" w:eastAsia="Times New Roman" w:hAnsi="Arial" w:cs="Arial"/>
          <w:lang w:eastAsia="en-GB"/>
        </w:rPr>
        <w:t>.</w:t>
      </w:r>
    </w:p>
    <w:p w14:paraId="42F3322E" w14:textId="77777777" w:rsidR="009C5052" w:rsidRPr="00117C7D" w:rsidRDefault="009C5052" w:rsidP="00641F80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lang w:eastAsia="en-GB"/>
        </w:rPr>
      </w:pPr>
      <w:r w:rsidRPr="00117C7D">
        <w:rPr>
          <w:rFonts w:ascii="Arial" w:eastAsia="Times New Roman" w:hAnsi="Arial" w:cs="Arial"/>
          <w:lang w:eastAsia="en-GB"/>
        </w:rPr>
        <w:t xml:space="preserve">The assessment of user satisfaction, internal </w:t>
      </w:r>
      <w:r w:rsidR="0090730D" w:rsidRPr="00117C7D">
        <w:rPr>
          <w:rFonts w:ascii="Arial" w:eastAsia="Times New Roman" w:hAnsi="Arial" w:cs="Arial"/>
          <w:lang w:eastAsia="en-GB"/>
        </w:rPr>
        <w:t xml:space="preserve">and external quality assessment </w:t>
      </w:r>
      <w:r w:rsidRPr="00117C7D">
        <w:rPr>
          <w:rFonts w:ascii="Arial" w:eastAsia="Times New Roman" w:hAnsi="Arial" w:cs="Arial"/>
          <w:lang w:eastAsia="en-GB"/>
        </w:rPr>
        <w:t>and staff suggestion evaluation in order to produce continual quality improvement</w:t>
      </w:r>
      <w:r w:rsidR="00644756" w:rsidRPr="00117C7D">
        <w:rPr>
          <w:rFonts w:ascii="Arial" w:eastAsia="Times New Roman" w:hAnsi="Arial" w:cs="Arial"/>
          <w:lang w:eastAsia="en-GB"/>
        </w:rPr>
        <w:t>.</w:t>
      </w:r>
    </w:p>
    <w:p w14:paraId="06D8E63B" w14:textId="56D6C116" w:rsidR="00B016FF" w:rsidRDefault="00B016FF" w:rsidP="004569E8">
      <w:pPr>
        <w:pStyle w:val="NoSpacing"/>
        <w:rPr>
          <w:rFonts w:ascii="Arial" w:hAnsi="Arial" w:cs="Arial"/>
        </w:rPr>
      </w:pPr>
      <w:r w:rsidRPr="00117C7D">
        <w:rPr>
          <w:rFonts w:ascii="Arial" w:hAnsi="Arial" w:cs="Arial"/>
        </w:rPr>
        <w:t xml:space="preserve">This policy will be reviewed as part of the </w:t>
      </w:r>
      <w:r w:rsidR="003632D6" w:rsidRPr="00117C7D">
        <w:rPr>
          <w:rFonts w:ascii="Arial" w:hAnsi="Arial" w:cs="Arial"/>
        </w:rPr>
        <w:t>ESNEFT Pathology</w:t>
      </w:r>
      <w:r w:rsidR="00A65294" w:rsidRPr="00117C7D">
        <w:rPr>
          <w:rFonts w:ascii="Arial" w:hAnsi="Arial" w:cs="Arial"/>
        </w:rPr>
        <w:t xml:space="preserve"> </w:t>
      </w:r>
      <w:r w:rsidRPr="00117C7D">
        <w:rPr>
          <w:rFonts w:ascii="Arial" w:hAnsi="Arial" w:cs="Arial"/>
        </w:rPr>
        <w:t xml:space="preserve">management </w:t>
      </w:r>
      <w:r w:rsidR="00A65294" w:rsidRPr="00117C7D">
        <w:rPr>
          <w:rFonts w:ascii="Arial" w:hAnsi="Arial" w:cs="Arial"/>
        </w:rPr>
        <w:t xml:space="preserve">review meetings </w:t>
      </w:r>
      <w:r w:rsidRPr="00117C7D">
        <w:rPr>
          <w:rFonts w:ascii="Arial" w:hAnsi="Arial" w:cs="Arial"/>
        </w:rPr>
        <w:t>to ensure its continued suitability and effectiveness in the continual improvement process.</w:t>
      </w:r>
      <w:r w:rsidR="00913BE8" w:rsidRPr="00117C7D">
        <w:t xml:space="preserve"> </w:t>
      </w:r>
      <w:r w:rsidR="00913BE8" w:rsidRPr="00117C7D">
        <w:rPr>
          <w:rFonts w:ascii="Arial" w:hAnsi="Arial" w:cs="Arial"/>
        </w:rPr>
        <w:t xml:space="preserve">There is one quality policy across </w:t>
      </w:r>
      <w:r w:rsidR="004401C6" w:rsidRPr="00117C7D">
        <w:rPr>
          <w:rFonts w:ascii="Arial" w:hAnsi="Arial" w:cs="Arial"/>
        </w:rPr>
        <w:t>p</w:t>
      </w:r>
      <w:r w:rsidR="004401C6">
        <w:rPr>
          <w:rFonts w:ascii="Arial" w:hAnsi="Arial" w:cs="Arial"/>
        </w:rPr>
        <w:t>athology, which</w:t>
      </w:r>
      <w:r w:rsidR="009724E5">
        <w:rPr>
          <w:rFonts w:ascii="Arial" w:hAnsi="Arial" w:cs="Arial"/>
        </w:rPr>
        <w:t xml:space="preserve"> can be found on Q-P</w:t>
      </w:r>
      <w:r w:rsidR="00913BE8" w:rsidRPr="00117C7D">
        <w:rPr>
          <w:rFonts w:ascii="Arial" w:hAnsi="Arial" w:cs="Arial"/>
        </w:rPr>
        <w:t xml:space="preserve">ulse – see document </w:t>
      </w:r>
      <w:r w:rsidR="006655CE" w:rsidRPr="00117C7D">
        <w:rPr>
          <w:rFonts w:ascii="Arial" w:hAnsi="Arial" w:cs="Arial"/>
        </w:rPr>
        <w:t>PATH-ALL-GP-2.</w:t>
      </w:r>
    </w:p>
    <w:p w14:paraId="06BB0B9E" w14:textId="77777777" w:rsidR="001104EA" w:rsidRPr="00117C7D" w:rsidRDefault="001104EA" w:rsidP="004569E8">
      <w:pPr>
        <w:pStyle w:val="NoSpacing"/>
        <w:rPr>
          <w:rFonts w:ascii="Arial" w:hAnsi="Arial" w:cs="Arial"/>
        </w:rPr>
      </w:pPr>
    </w:p>
    <w:p w14:paraId="4A051EE7" w14:textId="77777777" w:rsidR="00B016FF" w:rsidRPr="00117C7D" w:rsidRDefault="00B016FF" w:rsidP="004569E8">
      <w:pPr>
        <w:pStyle w:val="NoSpacing"/>
        <w:rPr>
          <w:rFonts w:ascii="Arial" w:hAnsi="Arial" w:cs="Arial"/>
        </w:rPr>
      </w:pPr>
      <w:r w:rsidRPr="00117C7D">
        <w:rPr>
          <w:rFonts w:ascii="Arial" w:hAnsi="Arial" w:cs="Arial"/>
        </w:rPr>
        <w:t xml:space="preserve">Signed on behalf of </w:t>
      </w:r>
      <w:r w:rsidR="003632D6" w:rsidRPr="00117C7D">
        <w:rPr>
          <w:rFonts w:ascii="Arial" w:hAnsi="Arial" w:cs="Arial"/>
        </w:rPr>
        <w:t xml:space="preserve">East Suffolk and North Essex NHS Foundation Trust </w:t>
      </w:r>
      <w:r w:rsidRPr="00117C7D">
        <w:rPr>
          <w:rFonts w:ascii="Arial" w:hAnsi="Arial" w:cs="Arial"/>
        </w:rPr>
        <w:t>by:</w:t>
      </w:r>
    </w:p>
    <w:p w14:paraId="50113811" w14:textId="57ED834E" w:rsidR="006D21DE" w:rsidRPr="00117C7D" w:rsidRDefault="000C73E4" w:rsidP="004569E8">
      <w:pPr>
        <w:pStyle w:val="NoSpacing"/>
        <w:rPr>
          <w:rFonts w:ascii="Arial" w:hAnsi="Arial" w:cs="Arial"/>
        </w:rPr>
      </w:pPr>
      <w:r w:rsidRPr="00117C7D">
        <w:rPr>
          <w:noProof/>
          <w:lang w:eastAsia="en-GB"/>
        </w:rPr>
        <w:drawing>
          <wp:inline distT="0" distB="0" distL="0" distR="0" wp14:anchorId="4DD32C0A" wp14:editId="5E4F7BA2">
            <wp:extent cx="762000" cy="27869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7852" cy="29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DA4" w:rsidRPr="00117C7D">
        <w:rPr>
          <w:rFonts w:ascii="Arial" w:hAnsi="Arial" w:cs="Arial"/>
        </w:rPr>
        <w:tab/>
      </w:r>
      <w:r w:rsidR="005A4DA4" w:rsidRPr="00117C7D">
        <w:rPr>
          <w:rFonts w:ascii="Arial" w:hAnsi="Arial" w:cs="Arial"/>
        </w:rPr>
        <w:tab/>
      </w:r>
      <w:r w:rsidR="005A4DA4" w:rsidRPr="00117C7D">
        <w:rPr>
          <w:rFonts w:ascii="Arial" w:hAnsi="Arial" w:cs="Arial"/>
        </w:rPr>
        <w:tab/>
      </w:r>
      <w:r w:rsidR="005A4DA4" w:rsidRPr="00117C7D">
        <w:rPr>
          <w:rFonts w:ascii="Arial" w:hAnsi="Arial" w:cs="Arial"/>
        </w:rPr>
        <w:tab/>
      </w:r>
      <w:r w:rsidR="005A4DA4" w:rsidRPr="00117C7D">
        <w:rPr>
          <w:rFonts w:ascii="Arial" w:hAnsi="Arial" w:cs="Arial"/>
        </w:rPr>
        <w:tab/>
      </w:r>
      <w:r w:rsidR="001A631B" w:rsidRPr="00117C7D">
        <w:rPr>
          <w:noProof/>
          <w:lang w:eastAsia="en-GB"/>
        </w:rPr>
        <w:drawing>
          <wp:inline distT="0" distB="0" distL="0" distR="0" wp14:anchorId="1E18D35C" wp14:editId="3971295E">
            <wp:extent cx="1187450" cy="2187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44" cy="2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DA4" w:rsidRPr="00117C7D">
        <w:rPr>
          <w:rFonts w:ascii="Arial" w:hAnsi="Arial" w:cs="Arial"/>
        </w:rPr>
        <w:tab/>
      </w:r>
      <w:r w:rsidR="005A4DA4" w:rsidRPr="00117C7D">
        <w:rPr>
          <w:rFonts w:ascii="Arial" w:hAnsi="Arial" w:cs="Arial"/>
        </w:rPr>
        <w:tab/>
      </w:r>
      <w:r w:rsidR="005A4DA4" w:rsidRPr="00117C7D">
        <w:rPr>
          <w:rFonts w:ascii="Arial" w:hAnsi="Arial" w:cs="Arial"/>
        </w:rPr>
        <w:tab/>
      </w:r>
      <w:r w:rsidR="005A4DA4" w:rsidRPr="00117C7D">
        <w:rPr>
          <w:noProof/>
          <w:lang w:eastAsia="en-GB"/>
        </w:rPr>
        <w:drawing>
          <wp:inline distT="0" distB="0" distL="0" distR="0" wp14:anchorId="454CD6C9" wp14:editId="2FD8BC7B">
            <wp:extent cx="833933" cy="232486"/>
            <wp:effectExtent l="0" t="0" r="444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07" cy="23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31B" w:rsidRPr="00117C7D">
        <w:rPr>
          <w:noProof/>
        </w:rPr>
        <w:t xml:space="preserve">     </w:t>
      </w:r>
    </w:p>
    <w:p w14:paraId="3FA0D05F" w14:textId="46725066" w:rsidR="002340AA" w:rsidRPr="00117C7D" w:rsidRDefault="00246F30" w:rsidP="005A4DA4">
      <w:pPr>
        <w:pStyle w:val="NoSpacing"/>
        <w:rPr>
          <w:rFonts w:ascii="Arial" w:hAnsi="Arial" w:cs="Arial"/>
        </w:rPr>
      </w:pPr>
      <w:r w:rsidRPr="00117C7D">
        <w:rPr>
          <w:rFonts w:ascii="Arial" w:hAnsi="Arial" w:cs="Arial"/>
        </w:rPr>
        <w:t>Alison Power</w:t>
      </w:r>
      <w:r w:rsidR="00D074D4" w:rsidRPr="00117C7D">
        <w:rPr>
          <w:rFonts w:ascii="Arial" w:hAnsi="Arial" w:cs="Arial"/>
        </w:rPr>
        <w:t xml:space="preserve">– </w:t>
      </w:r>
      <w:r w:rsidR="00D074D4" w:rsidRPr="00117C7D">
        <w:rPr>
          <w:rFonts w:ascii="Arial" w:hAnsi="Arial" w:cs="Arial"/>
        </w:rPr>
        <w:tab/>
      </w:r>
      <w:r w:rsidR="00D074D4" w:rsidRPr="00117C7D">
        <w:rPr>
          <w:rFonts w:ascii="Arial" w:hAnsi="Arial" w:cs="Arial"/>
        </w:rPr>
        <w:tab/>
      </w:r>
      <w:r w:rsidR="00583342">
        <w:rPr>
          <w:rFonts w:ascii="Arial" w:hAnsi="Arial" w:cs="Arial"/>
        </w:rPr>
        <w:tab/>
      </w:r>
      <w:r w:rsidR="00CB6F34" w:rsidRPr="00117C7D">
        <w:rPr>
          <w:rFonts w:ascii="Arial" w:hAnsi="Arial" w:cs="Arial"/>
        </w:rPr>
        <w:t xml:space="preserve">Dr </w:t>
      </w:r>
      <w:r w:rsidR="0043639C" w:rsidRPr="00117C7D">
        <w:rPr>
          <w:rFonts w:ascii="Arial" w:hAnsi="Arial" w:cs="Arial"/>
        </w:rPr>
        <w:t>Catherine Street</w:t>
      </w:r>
      <w:r w:rsidR="00CB6F34" w:rsidRPr="00117C7D">
        <w:rPr>
          <w:rFonts w:ascii="Arial" w:hAnsi="Arial" w:cs="Arial"/>
        </w:rPr>
        <w:t xml:space="preserve"> – </w:t>
      </w:r>
      <w:r w:rsidR="00CB6F34" w:rsidRPr="00117C7D">
        <w:rPr>
          <w:rFonts w:ascii="Arial" w:hAnsi="Arial" w:cs="Arial"/>
        </w:rPr>
        <w:tab/>
      </w:r>
      <w:r w:rsidR="00D074D4" w:rsidRPr="00117C7D">
        <w:rPr>
          <w:rFonts w:ascii="Arial" w:hAnsi="Arial" w:cs="Arial"/>
        </w:rPr>
        <w:tab/>
      </w:r>
      <w:r w:rsidR="00E323E5" w:rsidRPr="00117C7D">
        <w:rPr>
          <w:rFonts w:ascii="Arial" w:hAnsi="Arial" w:cs="Arial"/>
        </w:rPr>
        <w:tab/>
      </w:r>
      <w:r w:rsidR="00583342">
        <w:rPr>
          <w:rFonts w:ascii="Arial" w:hAnsi="Arial" w:cs="Arial"/>
        </w:rPr>
        <w:t xml:space="preserve">            </w:t>
      </w:r>
      <w:r w:rsidR="00547DB5" w:rsidRPr="00117C7D">
        <w:rPr>
          <w:rFonts w:ascii="Arial" w:hAnsi="Arial" w:cs="Arial"/>
        </w:rPr>
        <w:t>Sarah Stalley</w:t>
      </w:r>
      <w:r w:rsidR="002340AA" w:rsidRPr="00117C7D">
        <w:rPr>
          <w:rFonts w:ascii="Arial" w:hAnsi="Arial" w:cs="Arial"/>
        </w:rPr>
        <w:t xml:space="preserve"> – </w:t>
      </w:r>
      <w:r w:rsidR="00245E07" w:rsidRPr="00117C7D">
        <w:rPr>
          <w:rFonts w:ascii="Arial" w:hAnsi="Arial" w:cs="Arial"/>
        </w:rPr>
        <w:tab/>
      </w:r>
    </w:p>
    <w:p w14:paraId="1766B171" w14:textId="1E9DDAF5" w:rsidR="00787639" w:rsidRPr="00117C7D" w:rsidRDefault="00246F30" w:rsidP="00043652">
      <w:pPr>
        <w:pStyle w:val="NoSpacing"/>
        <w:rPr>
          <w:rFonts w:ascii="Arial" w:hAnsi="Arial" w:cs="Arial"/>
        </w:rPr>
      </w:pPr>
      <w:r w:rsidRPr="00117C7D">
        <w:rPr>
          <w:rFonts w:ascii="Arial" w:hAnsi="Arial" w:cs="Arial"/>
        </w:rPr>
        <w:t>Director of Operations</w:t>
      </w:r>
      <w:r w:rsidR="00CB6F34" w:rsidRPr="00117C7D">
        <w:rPr>
          <w:rFonts w:ascii="Arial" w:hAnsi="Arial" w:cs="Arial"/>
        </w:rPr>
        <w:tab/>
      </w:r>
      <w:r w:rsidR="00CB6F34" w:rsidRPr="00117C7D">
        <w:rPr>
          <w:rFonts w:ascii="Arial" w:hAnsi="Arial" w:cs="Arial"/>
        </w:rPr>
        <w:tab/>
      </w:r>
      <w:r w:rsidRPr="00117C7D">
        <w:rPr>
          <w:rFonts w:ascii="Arial" w:hAnsi="Arial" w:cs="Arial"/>
        </w:rPr>
        <w:tab/>
      </w:r>
      <w:r w:rsidR="0043639C" w:rsidRPr="00117C7D">
        <w:rPr>
          <w:rFonts w:ascii="Arial" w:hAnsi="Arial" w:cs="Arial"/>
        </w:rPr>
        <w:t>Consultant Clinical Scientist</w:t>
      </w:r>
      <w:r w:rsidR="00CB6F34" w:rsidRPr="00117C7D">
        <w:rPr>
          <w:rFonts w:ascii="Arial" w:hAnsi="Arial" w:cs="Arial"/>
        </w:rPr>
        <w:tab/>
      </w:r>
      <w:r w:rsidR="00E323E5" w:rsidRPr="00117C7D">
        <w:rPr>
          <w:rFonts w:ascii="Arial" w:hAnsi="Arial" w:cs="Arial"/>
        </w:rPr>
        <w:tab/>
      </w:r>
      <w:r w:rsidR="00117C7D">
        <w:rPr>
          <w:rFonts w:ascii="Arial" w:hAnsi="Arial" w:cs="Arial"/>
        </w:rPr>
        <w:t xml:space="preserve">            </w:t>
      </w:r>
      <w:r w:rsidR="00043652" w:rsidRPr="00117C7D">
        <w:rPr>
          <w:rFonts w:ascii="Arial" w:hAnsi="Arial" w:cs="Arial"/>
        </w:rPr>
        <w:t>Head of Operations</w:t>
      </w:r>
      <w:r w:rsidR="000E02D7" w:rsidRPr="00117C7D">
        <w:rPr>
          <w:rFonts w:ascii="Arial" w:hAnsi="Arial" w:cs="Arial"/>
        </w:rPr>
        <w:t xml:space="preserve">        </w:t>
      </w:r>
      <w:r w:rsidR="00547DB5" w:rsidRPr="00117C7D">
        <w:rPr>
          <w:rFonts w:ascii="Arial" w:hAnsi="Arial" w:cs="Arial"/>
        </w:rPr>
        <w:t xml:space="preserve"> </w:t>
      </w:r>
    </w:p>
    <w:p w14:paraId="59B2093A" w14:textId="77777777" w:rsidR="00043652" w:rsidRPr="00043652" w:rsidRDefault="00246F30" w:rsidP="00043652">
      <w:pPr>
        <w:pStyle w:val="NoSpacing"/>
        <w:rPr>
          <w:rFonts w:ascii="Arial" w:hAnsi="Arial" w:cs="Arial"/>
          <w:sz w:val="20"/>
          <w:szCs w:val="20"/>
        </w:rPr>
      </w:pPr>
      <w:r w:rsidRPr="00117C7D">
        <w:rPr>
          <w:rFonts w:ascii="Arial" w:hAnsi="Arial" w:cs="Arial"/>
        </w:rPr>
        <w:t>ESNEFT</w:t>
      </w:r>
      <w:r w:rsidR="003632D6" w:rsidRPr="00117C7D">
        <w:rPr>
          <w:rFonts w:ascii="Arial" w:hAnsi="Arial" w:cs="Arial"/>
        </w:rPr>
        <w:tab/>
      </w:r>
      <w:r w:rsidR="003632D6" w:rsidRPr="00117C7D">
        <w:rPr>
          <w:rFonts w:ascii="Arial" w:hAnsi="Arial" w:cs="Arial"/>
        </w:rPr>
        <w:tab/>
      </w:r>
      <w:r w:rsidR="003632D6" w:rsidRPr="00117C7D">
        <w:rPr>
          <w:rFonts w:ascii="Arial" w:hAnsi="Arial" w:cs="Arial"/>
        </w:rPr>
        <w:tab/>
      </w:r>
      <w:r w:rsidR="00CB6F34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>Clinical Director for Pathology</w:t>
      </w:r>
      <w:r w:rsidR="00913BE8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ab/>
        <w:t xml:space="preserve">Pathology  </w:t>
      </w:r>
      <w:r w:rsidR="009A2BD0" w:rsidRPr="00117C7D">
        <w:rPr>
          <w:rFonts w:ascii="Arial" w:hAnsi="Arial" w:cs="Arial"/>
        </w:rPr>
        <w:tab/>
      </w:r>
      <w:r w:rsidR="0043639C" w:rsidRPr="00117C7D">
        <w:rPr>
          <w:rFonts w:ascii="Arial" w:hAnsi="Arial" w:cs="Arial"/>
        </w:rPr>
        <w:tab/>
      </w:r>
      <w:r w:rsidR="003632D6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ab/>
      </w:r>
      <w:r w:rsidR="00913BE8" w:rsidRPr="00117C7D">
        <w:rPr>
          <w:rFonts w:ascii="Arial" w:hAnsi="Arial" w:cs="Arial"/>
        </w:rPr>
        <w:tab/>
      </w:r>
      <w:r w:rsidR="0043639C" w:rsidRPr="00117C7D">
        <w:rPr>
          <w:rFonts w:ascii="Arial" w:hAnsi="Arial" w:cs="Arial"/>
        </w:rPr>
        <w:tab/>
      </w:r>
      <w:r w:rsidR="0043639C">
        <w:rPr>
          <w:rFonts w:ascii="Arial" w:hAnsi="Arial" w:cs="Arial"/>
          <w:sz w:val="20"/>
          <w:szCs w:val="20"/>
        </w:rPr>
        <w:tab/>
      </w:r>
      <w:r w:rsidR="0043639C">
        <w:rPr>
          <w:rFonts w:ascii="Arial" w:hAnsi="Arial" w:cs="Arial"/>
          <w:sz w:val="20"/>
          <w:szCs w:val="20"/>
        </w:rPr>
        <w:tab/>
      </w:r>
    </w:p>
    <w:sectPr w:rsidR="00043652" w:rsidRPr="00043652" w:rsidSect="004569E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8B05" w14:textId="77777777" w:rsidR="00BB2C74" w:rsidRDefault="00BB2C74" w:rsidP="00F56B76">
      <w:pPr>
        <w:spacing w:after="0" w:line="240" w:lineRule="auto"/>
      </w:pPr>
      <w:r>
        <w:separator/>
      </w:r>
    </w:p>
  </w:endnote>
  <w:endnote w:type="continuationSeparator" w:id="0">
    <w:p w14:paraId="783C5641" w14:textId="77777777" w:rsidR="00BB2C74" w:rsidRDefault="00BB2C74" w:rsidP="00F5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47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1799"/>
      <w:gridCol w:w="4795"/>
      <w:gridCol w:w="3342"/>
    </w:tblGrid>
    <w:tr w:rsidR="00117C7D" w:rsidRPr="00C816DF" w14:paraId="55B12B3C" w14:textId="77777777" w:rsidTr="00117C7D">
      <w:trPr>
        <w:trHeight w:val="301"/>
      </w:trPr>
      <w:tc>
        <w:tcPr>
          <w:tcW w:w="905" w:type="pct"/>
          <w:vAlign w:val="center"/>
        </w:tcPr>
        <w:p w14:paraId="615F6D44" w14:textId="333D7835" w:rsidR="00117C7D" w:rsidRPr="000D5ED5" w:rsidRDefault="00117C7D" w:rsidP="00117C7D">
          <w:pPr>
            <w:pStyle w:val="Footer"/>
            <w:rPr>
              <w:rFonts w:cs="Arial"/>
            </w:rPr>
          </w:pPr>
          <w:r w:rsidRPr="000D5ED5">
            <w:rPr>
              <w:rFonts w:cs="Arial"/>
            </w:rPr>
            <w:t xml:space="preserve">Print Date: </w:t>
          </w:r>
          <w:r w:rsidRPr="000D5ED5">
            <w:rPr>
              <w:rFonts w:cs="Arial"/>
            </w:rPr>
            <w:fldChar w:fldCharType="begin"/>
          </w:r>
          <w:r w:rsidRPr="000D5ED5">
            <w:rPr>
              <w:rFonts w:cs="Arial"/>
            </w:rPr>
            <w:instrText xml:space="preserve"> DATE \@ "dd/MM/yyyy" </w:instrText>
          </w:r>
          <w:r w:rsidRPr="000D5ED5">
            <w:rPr>
              <w:rFonts w:cs="Arial"/>
            </w:rPr>
            <w:fldChar w:fldCharType="separate"/>
          </w:r>
          <w:r w:rsidR="00DE7102">
            <w:rPr>
              <w:rFonts w:cs="Arial"/>
              <w:noProof/>
            </w:rPr>
            <w:t>21/11/2022</w:t>
          </w:r>
          <w:r w:rsidRPr="000D5ED5">
            <w:rPr>
              <w:rFonts w:cs="Arial"/>
            </w:rPr>
            <w:fldChar w:fldCharType="end"/>
          </w:r>
        </w:p>
      </w:tc>
      <w:tc>
        <w:tcPr>
          <w:tcW w:w="2413" w:type="pct"/>
          <w:vAlign w:val="center"/>
        </w:tcPr>
        <w:p w14:paraId="24EFB1C8" w14:textId="77777777" w:rsidR="00117C7D" w:rsidRPr="000D5ED5" w:rsidRDefault="00117C7D" w:rsidP="00117C7D">
          <w:pPr>
            <w:pStyle w:val="Footer"/>
            <w:jc w:val="center"/>
            <w:rPr>
              <w:rFonts w:cs="Arial"/>
              <w:b/>
            </w:rPr>
          </w:pPr>
        </w:p>
      </w:tc>
      <w:tc>
        <w:tcPr>
          <w:tcW w:w="1682" w:type="pct"/>
        </w:tcPr>
        <w:p w14:paraId="1A840499" w14:textId="2E738119" w:rsidR="00117C7D" w:rsidRPr="00C816DF" w:rsidRDefault="00117C7D" w:rsidP="00117C7D">
          <w:pPr>
            <w:pStyle w:val="Footer"/>
            <w:jc w:val="right"/>
          </w:pPr>
          <w:r w:rsidRPr="000D5ED5">
            <w:rPr>
              <w:rFonts w:cs="Arial"/>
            </w:rPr>
            <w:t xml:space="preserve">Page </w:t>
          </w:r>
          <w:r w:rsidRPr="000D5ED5">
            <w:rPr>
              <w:rFonts w:cs="Arial"/>
            </w:rPr>
            <w:fldChar w:fldCharType="begin"/>
          </w:r>
          <w:r w:rsidRPr="000D5ED5">
            <w:rPr>
              <w:rFonts w:cs="Arial"/>
            </w:rPr>
            <w:instrText xml:space="preserve"> PAGE  \* Arabic  \* MERGEFORMAT </w:instrText>
          </w:r>
          <w:r w:rsidRPr="000D5ED5">
            <w:rPr>
              <w:rFonts w:cs="Arial"/>
            </w:rPr>
            <w:fldChar w:fldCharType="separate"/>
          </w:r>
          <w:r w:rsidR="00DE7102">
            <w:rPr>
              <w:rFonts w:cs="Arial"/>
              <w:noProof/>
            </w:rPr>
            <w:t>1</w:t>
          </w:r>
          <w:r w:rsidRPr="000D5ED5">
            <w:rPr>
              <w:rFonts w:cs="Arial"/>
            </w:rPr>
            <w:fldChar w:fldCharType="end"/>
          </w:r>
          <w:r w:rsidRPr="000D5ED5">
            <w:rPr>
              <w:rFonts w:cs="Arial"/>
            </w:rPr>
            <w:t xml:space="preserve"> of </w:t>
          </w:r>
          <w:r w:rsidRPr="000D5ED5">
            <w:rPr>
              <w:rFonts w:cs="Arial"/>
            </w:rPr>
            <w:fldChar w:fldCharType="begin"/>
          </w:r>
          <w:r w:rsidRPr="000D5ED5">
            <w:rPr>
              <w:rFonts w:cs="Arial"/>
            </w:rPr>
            <w:instrText xml:space="preserve"> NUMPAGES  \* Arabic  \* MERGEFORMAT </w:instrText>
          </w:r>
          <w:r w:rsidRPr="000D5ED5">
            <w:rPr>
              <w:rFonts w:cs="Arial"/>
            </w:rPr>
            <w:fldChar w:fldCharType="separate"/>
          </w:r>
          <w:r w:rsidR="00DE7102">
            <w:rPr>
              <w:rFonts w:cs="Arial"/>
              <w:noProof/>
            </w:rPr>
            <w:t>2</w:t>
          </w:r>
          <w:r w:rsidRPr="000D5ED5">
            <w:rPr>
              <w:rFonts w:cs="Arial"/>
            </w:rPr>
            <w:fldChar w:fldCharType="end"/>
          </w:r>
        </w:p>
      </w:tc>
    </w:tr>
  </w:tbl>
  <w:p w14:paraId="7CB5A219" w14:textId="67A77A60" w:rsidR="00F56B76" w:rsidRPr="00117C7D" w:rsidRDefault="00F56B76" w:rsidP="00117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1A2F" w14:textId="77777777" w:rsidR="00BB2C74" w:rsidRDefault="00BB2C74" w:rsidP="00F56B76">
      <w:pPr>
        <w:spacing w:after="0" w:line="240" w:lineRule="auto"/>
      </w:pPr>
      <w:r>
        <w:separator/>
      </w:r>
    </w:p>
  </w:footnote>
  <w:footnote w:type="continuationSeparator" w:id="0">
    <w:p w14:paraId="6F287FEB" w14:textId="77777777" w:rsidR="00BB2C74" w:rsidRDefault="00BB2C74" w:rsidP="00F5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6"/>
      <w:gridCol w:w="3677"/>
      <w:gridCol w:w="4793"/>
    </w:tblGrid>
    <w:tr w:rsidR="00117C7D" w:rsidRPr="006B0A02" w14:paraId="3FB10416" w14:textId="77777777" w:rsidTr="00F50874">
      <w:trPr>
        <w:trHeight w:val="384"/>
        <w:jc w:val="center"/>
      </w:trPr>
      <w:tc>
        <w:tcPr>
          <w:tcW w:w="2706" w:type="pct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BFEDED" w14:textId="2E353569" w:rsidR="00117C7D" w:rsidRPr="00117C7D" w:rsidRDefault="00117C7D" w:rsidP="00117C7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  <w:b/>
            </w:rPr>
          </w:pPr>
          <w:r w:rsidRPr="003632D6">
            <w:rPr>
              <w:rFonts w:ascii="Arial" w:hAnsi="Arial" w:cs="Arial"/>
              <w:b/>
              <w:sz w:val="24"/>
              <w:szCs w:val="24"/>
            </w:rPr>
            <w:t xml:space="preserve">East Suffolk &amp; North Essex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NHS </w:t>
          </w:r>
          <w:r w:rsidRPr="003632D6">
            <w:rPr>
              <w:rFonts w:ascii="Arial" w:hAnsi="Arial" w:cs="Arial"/>
              <w:b/>
              <w:sz w:val="24"/>
              <w:szCs w:val="24"/>
            </w:rPr>
            <w:t>Foundation Trust (ESNEFT) Pathology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4569E8">
            <w:rPr>
              <w:rFonts w:ascii="Arial" w:hAnsi="Arial" w:cs="Arial"/>
              <w:b/>
              <w:sz w:val="24"/>
              <w:szCs w:val="24"/>
            </w:rPr>
            <w:t>Quality Policy</w:t>
          </w:r>
        </w:p>
      </w:tc>
      <w:tc>
        <w:tcPr>
          <w:tcW w:w="2294" w:type="pct"/>
          <w:vMerge w:val="restar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176600" w14:textId="77777777" w:rsidR="00117C7D" w:rsidRPr="006B0A02" w:rsidRDefault="00117C7D" w:rsidP="00117C7D">
          <w:pPr>
            <w:tabs>
              <w:tab w:val="center" w:pos="4513"/>
              <w:tab w:val="right" w:pos="9026"/>
            </w:tabs>
            <w:spacing w:after="0" w:line="240" w:lineRule="auto"/>
            <w:rPr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4BBC15C" wp14:editId="71F5BF22">
                <wp:extent cx="2385392" cy="717934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549" cy="72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17C7D" w:rsidRPr="006B0A02" w14:paraId="4F58D73E" w14:textId="77777777" w:rsidTr="00F50874">
      <w:trPr>
        <w:trHeight w:val="384"/>
        <w:jc w:val="center"/>
      </w:trPr>
      <w:tc>
        <w:tcPr>
          <w:tcW w:w="2706" w:type="pct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F6A406" w14:textId="2219C2BE" w:rsidR="00117C7D" w:rsidRPr="00117C7D" w:rsidRDefault="00117C7D" w:rsidP="00117C7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  <w:b/>
            </w:rPr>
          </w:pPr>
          <w:r w:rsidRPr="00117C7D">
            <w:rPr>
              <w:rFonts w:ascii="Arial" w:hAnsi="Arial" w:cs="Arial"/>
              <w:b/>
            </w:rPr>
            <w:t>PATH-ALL-GP-2</w:t>
          </w:r>
        </w:p>
      </w:tc>
      <w:tc>
        <w:tcPr>
          <w:tcW w:w="2294" w:type="pct"/>
          <w:vMerge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4FF4077" w14:textId="77777777" w:rsidR="00117C7D" w:rsidRPr="006B0A02" w:rsidRDefault="00117C7D" w:rsidP="00117C7D">
          <w:pPr>
            <w:rPr>
              <w:rFonts w:cs="Arial"/>
              <w:lang w:eastAsia="en-GB"/>
            </w:rPr>
          </w:pPr>
        </w:p>
      </w:tc>
    </w:tr>
    <w:tr w:rsidR="00117C7D" w:rsidRPr="006B0A02" w14:paraId="28BA5679" w14:textId="77777777" w:rsidTr="00F50874">
      <w:trPr>
        <w:trHeight w:val="384"/>
        <w:jc w:val="center"/>
      </w:trPr>
      <w:tc>
        <w:tcPr>
          <w:tcW w:w="2706" w:type="pct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464057" w14:textId="77777777" w:rsidR="00117C7D" w:rsidRPr="00117C7D" w:rsidRDefault="00117C7D" w:rsidP="00117C7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</w:rPr>
          </w:pPr>
          <w:r w:rsidRPr="00117C7D">
            <w:rPr>
              <w:rFonts w:ascii="Arial" w:hAnsi="Arial" w:cs="Arial"/>
              <w:b/>
              <w:bCs/>
            </w:rPr>
            <w:t>All/Pathology</w:t>
          </w:r>
        </w:p>
      </w:tc>
      <w:tc>
        <w:tcPr>
          <w:tcW w:w="2294" w:type="pct"/>
          <w:vMerge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81F02C8" w14:textId="77777777" w:rsidR="00117C7D" w:rsidRPr="006B0A02" w:rsidRDefault="00117C7D" w:rsidP="00117C7D">
          <w:pPr>
            <w:rPr>
              <w:rFonts w:cs="Arial"/>
              <w:lang w:eastAsia="en-GB"/>
            </w:rPr>
          </w:pPr>
        </w:p>
      </w:tc>
    </w:tr>
    <w:tr w:rsidR="00117C7D" w:rsidRPr="006B0A02" w14:paraId="7B898A55" w14:textId="77777777" w:rsidTr="00F50874">
      <w:trPr>
        <w:trHeight w:val="467"/>
        <w:jc w:val="center"/>
      </w:trPr>
      <w:tc>
        <w:tcPr>
          <w:tcW w:w="946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94330E" w14:textId="75E77466" w:rsidR="00117C7D" w:rsidRPr="00117C7D" w:rsidRDefault="00117C7D" w:rsidP="00117C7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Version: 4.2</w:t>
          </w:r>
        </w:p>
      </w:tc>
      <w:tc>
        <w:tcPr>
          <w:tcW w:w="176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77646C" w14:textId="77777777" w:rsidR="00117C7D" w:rsidRPr="00117C7D" w:rsidRDefault="00117C7D" w:rsidP="00117C7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</w:rPr>
          </w:pPr>
          <w:r w:rsidRPr="00117C7D">
            <w:rPr>
              <w:rFonts w:ascii="Arial" w:hAnsi="Arial" w:cs="Arial"/>
            </w:rPr>
            <w:t>Issue Date:  </w:t>
          </w:r>
          <w:r w:rsidRPr="00117C7D">
            <w:rPr>
              <w:rFonts w:ascii="Arial" w:hAnsi="Arial" w:cs="Arial"/>
              <w:b/>
              <w:bCs/>
            </w:rPr>
            <w:t>See Qpulse</w:t>
          </w:r>
        </w:p>
      </w:tc>
      <w:tc>
        <w:tcPr>
          <w:tcW w:w="2294" w:type="pct"/>
          <w:vMerge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6544FE3" w14:textId="77777777" w:rsidR="00117C7D" w:rsidRPr="006B0A02" w:rsidRDefault="00117C7D" w:rsidP="00117C7D">
          <w:pPr>
            <w:rPr>
              <w:rFonts w:cs="Arial"/>
              <w:lang w:eastAsia="en-GB"/>
            </w:rPr>
          </w:pPr>
        </w:p>
      </w:tc>
    </w:tr>
  </w:tbl>
  <w:p w14:paraId="647A1C14" w14:textId="77777777" w:rsidR="00F56B76" w:rsidRPr="00117C7D" w:rsidRDefault="00F56B76" w:rsidP="00117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36E"/>
    <w:multiLevelType w:val="hybridMultilevel"/>
    <w:tmpl w:val="9B40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54B"/>
    <w:multiLevelType w:val="hybridMultilevel"/>
    <w:tmpl w:val="1D7C9570"/>
    <w:lvl w:ilvl="0" w:tplc="59580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08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E2D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45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26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DCD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C1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E9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61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6D5"/>
    <w:multiLevelType w:val="multilevel"/>
    <w:tmpl w:val="FD1233F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C1CBF"/>
    <w:multiLevelType w:val="multilevel"/>
    <w:tmpl w:val="E18A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F6306"/>
    <w:multiLevelType w:val="multilevel"/>
    <w:tmpl w:val="AC98E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D7DBF"/>
    <w:multiLevelType w:val="multilevel"/>
    <w:tmpl w:val="BCF6CF3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E3814"/>
    <w:multiLevelType w:val="hybridMultilevel"/>
    <w:tmpl w:val="185E3F2C"/>
    <w:lvl w:ilvl="0" w:tplc="CDFCE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4A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0C0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25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40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BAE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83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A8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9C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171FC"/>
    <w:multiLevelType w:val="hybridMultilevel"/>
    <w:tmpl w:val="4E906856"/>
    <w:lvl w:ilvl="0" w:tplc="3CBC5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22FDD"/>
    <w:multiLevelType w:val="multilevel"/>
    <w:tmpl w:val="EE02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02AFD"/>
    <w:multiLevelType w:val="multilevel"/>
    <w:tmpl w:val="EFA2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52"/>
    <w:rsid w:val="00024173"/>
    <w:rsid w:val="00043652"/>
    <w:rsid w:val="00087C90"/>
    <w:rsid w:val="000B060A"/>
    <w:rsid w:val="000C73E4"/>
    <w:rsid w:val="000E02D7"/>
    <w:rsid w:val="000F7A83"/>
    <w:rsid w:val="001104EA"/>
    <w:rsid w:val="00117C7D"/>
    <w:rsid w:val="00127C2A"/>
    <w:rsid w:val="001511A7"/>
    <w:rsid w:val="001977C2"/>
    <w:rsid w:val="001A631B"/>
    <w:rsid w:val="001D100A"/>
    <w:rsid w:val="001E4038"/>
    <w:rsid w:val="00206605"/>
    <w:rsid w:val="00212B95"/>
    <w:rsid w:val="002340AA"/>
    <w:rsid w:val="00245E07"/>
    <w:rsid w:val="00246F30"/>
    <w:rsid w:val="00253081"/>
    <w:rsid w:val="002C22F5"/>
    <w:rsid w:val="002F6344"/>
    <w:rsid w:val="00301590"/>
    <w:rsid w:val="003632D6"/>
    <w:rsid w:val="00367AC4"/>
    <w:rsid w:val="00394AA6"/>
    <w:rsid w:val="003B73A7"/>
    <w:rsid w:val="003C4352"/>
    <w:rsid w:val="003D01DD"/>
    <w:rsid w:val="0043639C"/>
    <w:rsid w:val="004401C6"/>
    <w:rsid w:val="004569E8"/>
    <w:rsid w:val="004E5784"/>
    <w:rsid w:val="005229FF"/>
    <w:rsid w:val="005461D3"/>
    <w:rsid w:val="00547DB5"/>
    <w:rsid w:val="005541D4"/>
    <w:rsid w:val="00583342"/>
    <w:rsid w:val="005A4DA4"/>
    <w:rsid w:val="00641F80"/>
    <w:rsid w:val="00644756"/>
    <w:rsid w:val="006655CE"/>
    <w:rsid w:val="0069466D"/>
    <w:rsid w:val="006B2491"/>
    <w:rsid w:val="006D21DE"/>
    <w:rsid w:val="00701379"/>
    <w:rsid w:val="00710BF2"/>
    <w:rsid w:val="00734471"/>
    <w:rsid w:val="00787639"/>
    <w:rsid w:val="007E731A"/>
    <w:rsid w:val="008079BB"/>
    <w:rsid w:val="00843484"/>
    <w:rsid w:val="0089169D"/>
    <w:rsid w:val="008A7921"/>
    <w:rsid w:val="008C1C48"/>
    <w:rsid w:val="008C4DEB"/>
    <w:rsid w:val="0090730D"/>
    <w:rsid w:val="00913BE8"/>
    <w:rsid w:val="00935A56"/>
    <w:rsid w:val="00951403"/>
    <w:rsid w:val="00963D10"/>
    <w:rsid w:val="009659AD"/>
    <w:rsid w:val="009724E5"/>
    <w:rsid w:val="009A1925"/>
    <w:rsid w:val="009A2BD0"/>
    <w:rsid w:val="009B0B0F"/>
    <w:rsid w:val="009B5F4F"/>
    <w:rsid w:val="009C5052"/>
    <w:rsid w:val="00A16EAD"/>
    <w:rsid w:val="00A65294"/>
    <w:rsid w:val="00AF3F5A"/>
    <w:rsid w:val="00AF6A0A"/>
    <w:rsid w:val="00B016FF"/>
    <w:rsid w:val="00B208EA"/>
    <w:rsid w:val="00B21774"/>
    <w:rsid w:val="00B31C7C"/>
    <w:rsid w:val="00B96EC3"/>
    <w:rsid w:val="00BA2203"/>
    <w:rsid w:val="00BB2C74"/>
    <w:rsid w:val="00BB3814"/>
    <w:rsid w:val="00C0050C"/>
    <w:rsid w:val="00C214F1"/>
    <w:rsid w:val="00C32799"/>
    <w:rsid w:val="00C71CA6"/>
    <w:rsid w:val="00C95F2C"/>
    <w:rsid w:val="00CB6F34"/>
    <w:rsid w:val="00CD7C65"/>
    <w:rsid w:val="00D074D4"/>
    <w:rsid w:val="00D17A29"/>
    <w:rsid w:val="00D436DC"/>
    <w:rsid w:val="00D65C94"/>
    <w:rsid w:val="00DA3D2B"/>
    <w:rsid w:val="00DE7102"/>
    <w:rsid w:val="00E16579"/>
    <w:rsid w:val="00E21F66"/>
    <w:rsid w:val="00E323E5"/>
    <w:rsid w:val="00E54D82"/>
    <w:rsid w:val="00E734CF"/>
    <w:rsid w:val="00EE572A"/>
    <w:rsid w:val="00F00629"/>
    <w:rsid w:val="00F24061"/>
    <w:rsid w:val="00F372CC"/>
    <w:rsid w:val="00F56B76"/>
    <w:rsid w:val="00FD5559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1523DA"/>
  <w15:docId w15:val="{2FAFA08D-F96E-446F-ADBD-C9D6CF2F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76"/>
  </w:style>
  <w:style w:type="paragraph" w:styleId="Footer">
    <w:name w:val="footer"/>
    <w:basedOn w:val="Normal"/>
    <w:link w:val="FooterChar"/>
    <w:uiPriority w:val="99"/>
    <w:unhideWhenUsed/>
    <w:rsid w:val="00F5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76"/>
  </w:style>
  <w:style w:type="table" w:styleId="TableGrid">
    <w:name w:val="Table Grid"/>
    <w:basedOn w:val="TableNormal"/>
    <w:uiPriority w:val="59"/>
    <w:rsid w:val="00F56B7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7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56B7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65C94"/>
    <w:pPr>
      <w:spacing w:after="12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65C94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4569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69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8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315F-24E6-4904-A078-8B962A9B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Health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Steve</dc:creator>
  <cp:lastModifiedBy>Aristodimou, Tammy</cp:lastModifiedBy>
  <cp:revision>2</cp:revision>
  <cp:lastPrinted>2019-07-29T15:34:00Z</cp:lastPrinted>
  <dcterms:created xsi:type="dcterms:W3CDTF">2022-11-21T13:42:00Z</dcterms:created>
  <dcterms:modified xsi:type="dcterms:W3CDTF">2022-11-21T13:42:00Z</dcterms:modified>
</cp:coreProperties>
</file>